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F76E74" w:rsidP="00283FAF">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Health History Analysis</w:t>
      </w:r>
    </w:p>
    <w:p w:rsidR="00283FAF" w:rsidRDefault="00F76E74" w:rsidP="00283FA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283FAF" w:rsidRDefault="00F76E74" w:rsidP="00283FA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283FAF" w:rsidRDefault="00F76E74" w:rsidP="00283FA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83FAF" w:rsidRDefault="00283FAF" w:rsidP="00283FAF">
      <w:pPr>
        <w:jc w:val="center"/>
      </w:pPr>
    </w:p>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283FAF" w:rsidRDefault="00283FAF"/>
    <w:p w:rsidR="001F2C56" w:rsidRDefault="001F2C56"/>
    <w:p w:rsidR="001F2C56" w:rsidRDefault="001F2C56"/>
    <w:p w:rsidR="001F2C56" w:rsidRDefault="001F2C56"/>
    <w:p w:rsidR="001F2C56" w:rsidRDefault="001F2C56"/>
    <w:p w:rsidR="001F2C56" w:rsidRDefault="001F2C56"/>
    <w:p w:rsidR="001F2C56" w:rsidRDefault="001F2C56"/>
    <w:p w:rsidR="001F2C56"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lastRenderedPageBreak/>
        <w:t>Health History Analysis</w:t>
      </w:r>
    </w:p>
    <w:p w:rsidR="00A13B10"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The previous history of a patient reveals various problems and health issues that need to be analyzed. The patient had a medical history of atrial fibrillation and on anticoagulants. The patient had a history of dementia, benign prostatic hyperplasia, hypoglycemia, retinal vein occlusion in the right eye, cataract, peripheral vascular disease post stent placement. The family history presented the presence of cortical blindness and hypertension. Past surgical history revealed cataract extraction, lower extremity stent placement, surgery of the anal fissure, and appendectomy. This history provides various medical and surgical problems that are linked to the patient. The problems </w:t>
      </w:r>
      <w:r w:rsidR="004F4976" w:rsidRPr="001F2C56">
        <w:rPr>
          <w:rFonts w:ascii="Times New Roman" w:hAnsi="Times New Roman" w:cs="Times New Roman"/>
          <w:color w:val="000000" w:themeColor="text1"/>
          <w:sz w:val="24"/>
          <w:szCs w:val="24"/>
        </w:rPr>
        <w:t>need</w:t>
      </w:r>
      <w:r w:rsidRPr="001F2C56">
        <w:rPr>
          <w:rFonts w:ascii="Times New Roman" w:hAnsi="Times New Roman" w:cs="Times New Roman"/>
          <w:color w:val="000000" w:themeColor="text1"/>
          <w:sz w:val="24"/>
          <w:szCs w:val="24"/>
        </w:rPr>
        <w:t xml:space="preserve"> to be identified, and interventions developed. </w:t>
      </w:r>
    </w:p>
    <w:p w:rsidR="004F4976"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t xml:space="preserve">Health </w:t>
      </w:r>
      <w:r w:rsidR="00C40E15">
        <w:rPr>
          <w:rFonts w:ascii="Times New Roman" w:hAnsi="Times New Roman" w:cs="Times New Roman"/>
          <w:b/>
          <w:bCs/>
          <w:color w:val="000000" w:themeColor="text1"/>
          <w:sz w:val="24"/>
          <w:szCs w:val="24"/>
        </w:rPr>
        <w:t>P</w:t>
      </w:r>
      <w:r w:rsidRPr="001F2C56">
        <w:rPr>
          <w:rFonts w:ascii="Times New Roman" w:hAnsi="Times New Roman" w:cs="Times New Roman"/>
          <w:b/>
          <w:bCs/>
          <w:color w:val="000000" w:themeColor="text1"/>
          <w:sz w:val="24"/>
          <w:szCs w:val="24"/>
        </w:rPr>
        <w:t>roblems</w:t>
      </w:r>
    </w:p>
    <w:p w:rsidR="004F4976"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Atrial fibrillation- This is a condition that involves rapid and irregular heart rate caused by chaotic electrical signals in the heart. The result of abnormal signals leads to irregular rhythm and a heart rate, ranging from 100-175 beats per minute. Although this condition is not life-threatening, it may require emergency interventions</w:t>
      </w:r>
      <w:r w:rsidR="00AF07FD" w:rsidRPr="001F2C56">
        <w:rPr>
          <w:rFonts w:ascii="Times New Roman" w:hAnsi="Times New Roman" w:cs="Times New Roman"/>
          <w:color w:val="000000" w:themeColor="text1"/>
          <w:sz w:val="24"/>
          <w:szCs w:val="24"/>
        </w:rPr>
        <w:t xml:space="preserve"> (</w:t>
      </w:r>
      <w:r w:rsidR="00AF07FD" w:rsidRPr="001F2C56">
        <w:rPr>
          <w:rFonts w:ascii="Times New Roman" w:hAnsi="Times New Roman" w:cs="Times New Roman"/>
          <w:color w:val="000000" w:themeColor="text1"/>
          <w:sz w:val="24"/>
          <w:szCs w:val="24"/>
          <w:shd w:val="clear" w:color="auto" w:fill="FFFFFF"/>
        </w:rPr>
        <w:t>Proietti et al., 2020)</w:t>
      </w:r>
      <w:r w:rsidRPr="001F2C56">
        <w:rPr>
          <w:rFonts w:ascii="Times New Roman" w:hAnsi="Times New Roman" w:cs="Times New Roman"/>
          <w:color w:val="000000" w:themeColor="text1"/>
          <w:sz w:val="24"/>
          <w:szCs w:val="24"/>
        </w:rPr>
        <w:t xml:space="preserve">. The patient's history presents this condition, which may be a recurrence and needs to be prevented for enhancing the health maintenance of the patient. </w:t>
      </w:r>
      <w:r w:rsidR="00B0406C" w:rsidRPr="001F2C56">
        <w:rPr>
          <w:rFonts w:ascii="Times New Roman" w:hAnsi="Times New Roman" w:cs="Times New Roman"/>
          <w:color w:val="000000" w:themeColor="text1"/>
          <w:sz w:val="24"/>
          <w:szCs w:val="24"/>
        </w:rPr>
        <w:t xml:space="preserve">The primary concern with this condition is the development of blood clots that may enhance ischemia after disrupting blood flow. </w:t>
      </w:r>
    </w:p>
    <w:p w:rsidR="004D68B3"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Dementia- this is a term used to </w:t>
      </w:r>
      <w:r w:rsidR="003032D6" w:rsidRPr="001F2C56">
        <w:rPr>
          <w:rFonts w:ascii="Times New Roman" w:hAnsi="Times New Roman" w:cs="Times New Roman"/>
          <w:color w:val="000000" w:themeColor="text1"/>
          <w:sz w:val="24"/>
          <w:szCs w:val="24"/>
        </w:rPr>
        <w:t xml:space="preserve">describe multiple manifestations involving cognitive decline like forgetfulness. It involves symptoms of various underlying brain disorders. This condition is used to describe symptoms of impaired thinking, communication, and memory. The occurrence of this condition in the history of the patient provides a great chance of recurrence. Duong, Patel &amp; Chang (2017) states that the recurrence of the condition occurs in </w:t>
      </w:r>
      <w:r w:rsidR="003032D6" w:rsidRPr="001F2C56">
        <w:rPr>
          <w:rFonts w:ascii="Times New Roman" w:hAnsi="Times New Roman" w:cs="Times New Roman"/>
          <w:color w:val="000000" w:themeColor="text1"/>
          <w:sz w:val="24"/>
          <w:szCs w:val="24"/>
        </w:rPr>
        <w:lastRenderedPageBreak/>
        <w:t xml:space="preserve">more than 50% of the patients, which puts the patient at the risk of developing the condition in the future. </w:t>
      </w:r>
    </w:p>
    <w:p w:rsidR="00836AB5"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Benign prostatic hyperplasia- is a condition that occurs when the prostate gland enlarges, causing uncomfortable urinary symptoms like difficulty in emptying the bladder. The condition can lead to kidney, urinary tract, and bladder problems such as infections. This condition in history should influence health education concerning the risk factors associated with benign prostate hyperplasia. </w:t>
      </w:r>
    </w:p>
    <w:p w:rsidR="00836AB5"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Hyperlipidemia- this is a condition that occurs when there is </w:t>
      </w:r>
      <w:r w:rsidR="00D04588" w:rsidRPr="001F2C56">
        <w:rPr>
          <w:rFonts w:ascii="Times New Roman" w:hAnsi="Times New Roman" w:cs="Times New Roman"/>
          <w:color w:val="000000" w:themeColor="text1"/>
          <w:sz w:val="24"/>
          <w:szCs w:val="24"/>
        </w:rPr>
        <w:t xml:space="preserve">excess lipids or fats like triglycerides or cholesterol in the blood. This condition increases the level of the fat deposit in the arteries, which will expose the patient to cardiac conditions. The condition's history provides information concerning various diseases such as obesity, obesity, or heart attack that may occur if it is not well managed. </w:t>
      </w:r>
    </w:p>
    <w:p w:rsidR="000007D8"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Occlusion of the eye- </w:t>
      </w:r>
      <w:r w:rsidR="00F848AE" w:rsidRPr="001F2C56">
        <w:rPr>
          <w:rFonts w:ascii="Times New Roman" w:hAnsi="Times New Roman" w:cs="Times New Roman"/>
          <w:color w:val="000000" w:themeColor="text1"/>
          <w:sz w:val="24"/>
          <w:szCs w:val="24"/>
        </w:rPr>
        <w:t>when there is blockage of blood flow into and out of the retina, occlusion or stroke occurs. When the retina vein is blocked, the blood cannot be drained from the retina, leading to increased pressure and rupture of the blood cells</w:t>
      </w:r>
      <w:r w:rsidR="00FC0ECE" w:rsidRPr="001F2C56">
        <w:rPr>
          <w:rFonts w:ascii="Times New Roman" w:hAnsi="Times New Roman" w:cs="Times New Roman"/>
          <w:color w:val="000000" w:themeColor="text1"/>
          <w:sz w:val="24"/>
          <w:szCs w:val="24"/>
        </w:rPr>
        <w:t xml:space="preserve"> (</w:t>
      </w:r>
      <w:r w:rsidR="00FC0ECE" w:rsidRPr="001F2C56">
        <w:rPr>
          <w:rFonts w:ascii="Times New Roman" w:hAnsi="Times New Roman" w:cs="Times New Roman"/>
          <w:color w:val="000000" w:themeColor="text1"/>
          <w:sz w:val="24"/>
          <w:szCs w:val="24"/>
          <w:shd w:val="clear" w:color="auto" w:fill="FFFFFF"/>
        </w:rPr>
        <w:t>Limaye et al., 2018)</w:t>
      </w:r>
      <w:r w:rsidR="00F848AE" w:rsidRPr="001F2C56">
        <w:rPr>
          <w:rFonts w:ascii="Times New Roman" w:hAnsi="Times New Roman" w:cs="Times New Roman"/>
          <w:color w:val="000000" w:themeColor="text1"/>
          <w:sz w:val="24"/>
          <w:szCs w:val="24"/>
        </w:rPr>
        <w:t xml:space="preserve">. </w:t>
      </w:r>
    </w:p>
    <w:p w:rsidR="00F848AE"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t>Concerns</w:t>
      </w:r>
    </w:p>
    <w:p w:rsidR="00F848AE"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Prevention of arterial fibrillation- there is a need to develop a plan to enhance the prevention of recurrence of arterial fibrillation. Lifestyle strategies should be enhanced in the patient to ensure the prevention of recurrences. The patient should be encouraged to be involved in regular exercises, consume food rich in a balanced diet, low salt, and low-fat content. The patient should manage high blood pressure, avoid smoking and maintain a healthy weight. </w:t>
      </w:r>
    </w:p>
    <w:p w:rsidR="00F848AE"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Manage dementia- dementia occurrence can be prevented from occurring by maintaining a healthy lifestyle. </w:t>
      </w:r>
      <w:r w:rsidR="00E93104" w:rsidRPr="001F2C56">
        <w:rPr>
          <w:rFonts w:ascii="Times New Roman" w:hAnsi="Times New Roman" w:cs="Times New Roman"/>
          <w:color w:val="000000" w:themeColor="text1"/>
          <w:sz w:val="24"/>
          <w:szCs w:val="24"/>
        </w:rPr>
        <w:t xml:space="preserve">The patient should be encouraged to avoid smoking, maintain </w:t>
      </w:r>
      <w:r w:rsidR="00E93104" w:rsidRPr="001F2C56">
        <w:rPr>
          <w:rFonts w:ascii="Times New Roman" w:hAnsi="Times New Roman" w:cs="Times New Roman"/>
          <w:color w:val="000000" w:themeColor="text1"/>
          <w:sz w:val="24"/>
          <w:szCs w:val="24"/>
        </w:rPr>
        <w:lastRenderedPageBreak/>
        <w:t>a healthy weight, and manage health problems such as hypertension and diabetes through seeking treatment</w:t>
      </w:r>
      <w:r w:rsidR="00317649" w:rsidRPr="001F2C56">
        <w:rPr>
          <w:rFonts w:ascii="Times New Roman" w:hAnsi="Times New Roman" w:cs="Times New Roman"/>
          <w:color w:val="000000" w:themeColor="text1"/>
          <w:sz w:val="24"/>
          <w:szCs w:val="24"/>
        </w:rPr>
        <w:t xml:space="preserve"> (</w:t>
      </w:r>
      <w:r w:rsidR="00317649" w:rsidRPr="001F2C56">
        <w:rPr>
          <w:rFonts w:ascii="Times New Roman" w:hAnsi="Times New Roman" w:cs="Times New Roman"/>
          <w:color w:val="000000" w:themeColor="text1"/>
          <w:sz w:val="24"/>
          <w:szCs w:val="24"/>
          <w:shd w:val="clear" w:color="auto" w:fill="FFFFFF"/>
        </w:rPr>
        <w:t>Duong, Patel &amp; Chang, 2017)</w:t>
      </w:r>
      <w:r w:rsidR="00E93104" w:rsidRPr="001F2C56">
        <w:rPr>
          <w:rFonts w:ascii="Times New Roman" w:hAnsi="Times New Roman" w:cs="Times New Roman"/>
          <w:color w:val="000000" w:themeColor="text1"/>
          <w:sz w:val="24"/>
          <w:szCs w:val="24"/>
        </w:rPr>
        <w:t xml:space="preserve">. </w:t>
      </w:r>
    </w:p>
    <w:p w:rsidR="00E93104"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Management of benign prostatic hyperplasia- since this condition can </w:t>
      </w:r>
      <w:r w:rsidR="00900032" w:rsidRPr="001F2C56">
        <w:rPr>
          <w:rFonts w:ascii="Times New Roman" w:hAnsi="Times New Roman" w:cs="Times New Roman"/>
          <w:color w:val="000000" w:themeColor="text1"/>
          <w:sz w:val="24"/>
          <w:szCs w:val="24"/>
        </w:rPr>
        <w:t>recur;</w:t>
      </w:r>
      <w:r w:rsidRPr="001F2C56">
        <w:rPr>
          <w:rFonts w:ascii="Times New Roman" w:hAnsi="Times New Roman" w:cs="Times New Roman"/>
          <w:color w:val="000000" w:themeColor="text1"/>
          <w:sz w:val="24"/>
          <w:szCs w:val="24"/>
        </w:rPr>
        <w:t xml:space="preserve"> there is a need to enhance management to ensure that discomfort is relieved. The patient should be encouraged to seek treatment whenever the condition occurs.</w:t>
      </w:r>
    </w:p>
    <w:p w:rsidR="00E93104"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Hyperlipidemia control- the patient should be assessed for hyperlipidemia for management. The patient should be encouraged to avoid consuming saturated fats, eat omega-three components, increase consumption of fibers and eat more fruits and vegetables.</w:t>
      </w:r>
    </w:p>
    <w:p w:rsidR="00E93104"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Establish preventive measures for occlusion- occlusion is a problem that should be controlled to ensure that vision of the patient is enhanced</w:t>
      </w:r>
      <w:r w:rsidR="00FA721A" w:rsidRPr="001F2C56">
        <w:rPr>
          <w:rFonts w:ascii="Times New Roman" w:hAnsi="Times New Roman" w:cs="Times New Roman"/>
          <w:color w:val="000000" w:themeColor="text1"/>
          <w:sz w:val="24"/>
          <w:szCs w:val="24"/>
        </w:rPr>
        <w:t xml:space="preserve">. The patient should be educated on the significance of eye checkups to ensure that healthy eyes' maintenance is enhanced. </w:t>
      </w:r>
    </w:p>
    <w:p w:rsidR="004126E4"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t>Priority Concerns</w:t>
      </w:r>
    </w:p>
    <w:p w:rsidR="004126E4"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Of all the concerns presented, there are two of them that need to be prioritized and managed. One of the concerns is the prevention and control of hyperlipidemia. Since hyperlipidemia is a condition caused by unhealthy behaviors and lifestyle and the presence of other underlying conditions such as obesity, it should be well monitored and managed</w:t>
      </w:r>
      <w:r w:rsidR="00AF07FD" w:rsidRPr="001F2C56">
        <w:rPr>
          <w:rFonts w:ascii="Times New Roman" w:hAnsi="Times New Roman" w:cs="Times New Roman"/>
          <w:color w:val="000000" w:themeColor="text1"/>
          <w:sz w:val="24"/>
          <w:szCs w:val="24"/>
        </w:rPr>
        <w:t xml:space="preserve"> (</w:t>
      </w:r>
      <w:r w:rsidR="00AF07FD" w:rsidRPr="001F2C56">
        <w:rPr>
          <w:rFonts w:ascii="Times New Roman" w:hAnsi="Times New Roman" w:cs="Times New Roman"/>
          <w:color w:val="000000" w:themeColor="text1"/>
          <w:sz w:val="24"/>
          <w:szCs w:val="24"/>
          <w:shd w:val="clear" w:color="auto" w:fill="FFFFFF"/>
        </w:rPr>
        <w:t>Schmidt et al., 2018)</w:t>
      </w:r>
      <w:r w:rsidRPr="001F2C56">
        <w:rPr>
          <w:rFonts w:ascii="Times New Roman" w:hAnsi="Times New Roman" w:cs="Times New Roman"/>
          <w:color w:val="000000" w:themeColor="text1"/>
          <w:sz w:val="24"/>
          <w:szCs w:val="24"/>
        </w:rPr>
        <w:t xml:space="preserve">. More so, hyperlipidemia can put the patient at risk of other severe conditions such as stroke and heart attack, which are life-threatening. Also, preventive measures for </w:t>
      </w:r>
      <w:r w:rsidR="009475E7" w:rsidRPr="001F2C56">
        <w:rPr>
          <w:rFonts w:ascii="Times New Roman" w:hAnsi="Times New Roman" w:cs="Times New Roman"/>
          <w:color w:val="000000" w:themeColor="text1"/>
          <w:sz w:val="24"/>
          <w:szCs w:val="24"/>
        </w:rPr>
        <w:t xml:space="preserve">occlusion of the eye </w:t>
      </w:r>
      <w:r w:rsidR="00900032" w:rsidRPr="001F2C56">
        <w:rPr>
          <w:rFonts w:ascii="Times New Roman" w:hAnsi="Times New Roman" w:cs="Times New Roman"/>
          <w:color w:val="000000" w:themeColor="text1"/>
          <w:sz w:val="24"/>
          <w:szCs w:val="24"/>
        </w:rPr>
        <w:t>are</w:t>
      </w:r>
      <w:r w:rsidR="00900032">
        <w:rPr>
          <w:rFonts w:ascii="Times New Roman" w:hAnsi="Times New Roman" w:cs="Times New Roman"/>
          <w:color w:val="000000" w:themeColor="text1"/>
          <w:sz w:val="24"/>
          <w:szCs w:val="24"/>
        </w:rPr>
        <w:t xml:space="preserve"> </w:t>
      </w:r>
      <w:r w:rsidR="00900032" w:rsidRPr="001F2C56">
        <w:rPr>
          <w:rFonts w:ascii="Times New Roman" w:hAnsi="Times New Roman" w:cs="Times New Roman"/>
          <w:color w:val="000000" w:themeColor="text1"/>
          <w:sz w:val="24"/>
          <w:szCs w:val="24"/>
        </w:rPr>
        <w:t>significant</w:t>
      </w:r>
      <w:r w:rsidR="00CE4029" w:rsidRPr="001F2C56">
        <w:rPr>
          <w:rFonts w:ascii="Times New Roman" w:hAnsi="Times New Roman" w:cs="Times New Roman"/>
          <w:color w:val="000000" w:themeColor="text1"/>
          <w:sz w:val="24"/>
          <w:szCs w:val="24"/>
        </w:rPr>
        <w:t xml:space="preserve"> as the condition can lead to complications such as retinal detachment, neovascular glaucoma, neovascularization, and macular edema. These conditions can cause severe vision because which needs to be prevented.</w:t>
      </w:r>
    </w:p>
    <w:p w:rsidR="00CE4029" w:rsidRPr="001F2C56"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t>Evidence-Based Interventions</w:t>
      </w:r>
    </w:p>
    <w:p w:rsidR="00CE4029" w:rsidRPr="001F2C56" w:rsidRDefault="00F76E74" w:rsidP="001F2C56">
      <w:pPr>
        <w:spacing w:after="0" w:line="480" w:lineRule="auto"/>
        <w:ind w:firstLine="851"/>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t xml:space="preserve">Various interventions need to be carried out to enhance the prevention of hyperlipidemia. The primary intervention for this problem is frequent patient assessment. The patient should be monitored for the level of lipids in the blood to ensure that early </w:t>
      </w:r>
      <w:r w:rsidRPr="001F2C56">
        <w:rPr>
          <w:rFonts w:ascii="Times New Roman" w:hAnsi="Times New Roman" w:cs="Times New Roman"/>
          <w:color w:val="000000" w:themeColor="text1"/>
          <w:sz w:val="24"/>
          <w:szCs w:val="24"/>
        </w:rPr>
        <w:lastRenderedPageBreak/>
        <w:t>management of hyperlipidemia is enhanced to prevent the occurrence of complications</w:t>
      </w:r>
      <w:r w:rsidR="00AF07FD" w:rsidRPr="001F2C56">
        <w:rPr>
          <w:rFonts w:ascii="Times New Roman" w:hAnsi="Times New Roman" w:cs="Times New Roman"/>
          <w:color w:val="000000" w:themeColor="text1"/>
          <w:sz w:val="24"/>
          <w:szCs w:val="24"/>
        </w:rPr>
        <w:t xml:space="preserve"> (</w:t>
      </w:r>
      <w:r w:rsidR="00AF07FD" w:rsidRPr="001F2C56">
        <w:rPr>
          <w:rFonts w:ascii="Times New Roman" w:hAnsi="Times New Roman" w:cs="Times New Roman"/>
          <w:color w:val="000000" w:themeColor="text1"/>
          <w:sz w:val="24"/>
          <w:szCs w:val="24"/>
          <w:shd w:val="clear" w:color="auto" w:fill="FFFFFF"/>
        </w:rPr>
        <w:t>Schmidt et al., 2018)</w:t>
      </w:r>
      <w:r w:rsidRPr="001F2C56">
        <w:rPr>
          <w:rFonts w:ascii="Times New Roman" w:hAnsi="Times New Roman" w:cs="Times New Roman"/>
          <w:color w:val="000000" w:themeColor="text1"/>
          <w:sz w:val="24"/>
          <w:szCs w:val="24"/>
        </w:rPr>
        <w:t>. More so, patient education should be enhanced to ensure significant lifestyle changes, including exercise, dietary changes like low intake of saturated fats, limiting consumption of red meat, and consumption of milk with low-fat content. These interventions aim to enhance the prevention of recurrence of the problem, which will enhance regulation of complications. Occlusion of the eyes needs to be monitored by assessing vision, ocular pressure, and the appearance of the eyes. Any change in the eyes' characteristics should be evaluated, and effective management developed</w:t>
      </w:r>
      <w:r w:rsidR="00FC0ECE" w:rsidRPr="001F2C56">
        <w:rPr>
          <w:rFonts w:ascii="Times New Roman" w:hAnsi="Times New Roman" w:cs="Times New Roman"/>
          <w:color w:val="000000" w:themeColor="text1"/>
          <w:sz w:val="24"/>
          <w:szCs w:val="24"/>
        </w:rPr>
        <w:t xml:space="preserve"> (</w:t>
      </w:r>
      <w:r w:rsidR="00FC0ECE" w:rsidRPr="001F2C56">
        <w:rPr>
          <w:rFonts w:ascii="Times New Roman" w:hAnsi="Times New Roman" w:cs="Times New Roman"/>
          <w:color w:val="000000" w:themeColor="text1"/>
          <w:sz w:val="24"/>
          <w:szCs w:val="24"/>
          <w:shd w:val="clear" w:color="auto" w:fill="FFFFFF"/>
        </w:rPr>
        <w:t>Limaye et al., 2018)</w:t>
      </w:r>
      <w:r w:rsidRPr="001F2C56">
        <w:rPr>
          <w:rFonts w:ascii="Times New Roman" w:hAnsi="Times New Roman" w:cs="Times New Roman"/>
          <w:color w:val="000000" w:themeColor="text1"/>
          <w:sz w:val="24"/>
          <w:szCs w:val="24"/>
        </w:rPr>
        <w:t xml:space="preserve">. The patient should be advised to seek treatment for any underlying condition which influences the problem. More so, other measures such as </w:t>
      </w:r>
      <w:r w:rsidR="00317649" w:rsidRPr="001F2C56">
        <w:rPr>
          <w:rFonts w:ascii="Times New Roman" w:hAnsi="Times New Roman" w:cs="Times New Roman"/>
          <w:color w:val="000000" w:themeColor="text1"/>
          <w:sz w:val="24"/>
          <w:szCs w:val="24"/>
        </w:rPr>
        <w:t xml:space="preserve">blood sugar and blood pressure control should be enhanced. </w:t>
      </w: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Default="00C40E15" w:rsidP="001F2C56">
      <w:pPr>
        <w:spacing w:after="0" w:line="480" w:lineRule="auto"/>
        <w:ind w:firstLine="851"/>
        <w:rPr>
          <w:rFonts w:ascii="Times New Roman" w:hAnsi="Times New Roman" w:cs="Times New Roman"/>
          <w:b/>
          <w:bCs/>
          <w:color w:val="000000" w:themeColor="text1"/>
          <w:sz w:val="24"/>
          <w:szCs w:val="24"/>
        </w:rPr>
      </w:pPr>
    </w:p>
    <w:p w:rsidR="00C40E15" w:rsidRPr="00C40E15" w:rsidRDefault="00F76E74" w:rsidP="00C40E15">
      <w:pPr>
        <w:spacing w:after="0" w:line="480" w:lineRule="auto"/>
        <w:ind w:firstLine="851"/>
        <w:jc w:val="center"/>
        <w:rPr>
          <w:rFonts w:ascii="Times New Roman" w:hAnsi="Times New Roman" w:cs="Times New Roman"/>
          <w:b/>
          <w:bCs/>
          <w:color w:val="000000" w:themeColor="text1"/>
          <w:sz w:val="24"/>
          <w:szCs w:val="24"/>
        </w:rPr>
      </w:pPr>
      <w:r w:rsidRPr="001F2C56">
        <w:rPr>
          <w:rFonts w:ascii="Times New Roman" w:hAnsi="Times New Roman" w:cs="Times New Roman"/>
          <w:b/>
          <w:bCs/>
          <w:color w:val="000000" w:themeColor="text1"/>
          <w:sz w:val="24"/>
          <w:szCs w:val="24"/>
        </w:rPr>
        <w:lastRenderedPageBreak/>
        <w:t>References</w:t>
      </w:r>
    </w:p>
    <w:p w:rsidR="00C40E15" w:rsidRPr="001F2C56" w:rsidRDefault="00F76E74" w:rsidP="00C40E15">
      <w:pPr>
        <w:spacing w:after="0" w:line="480" w:lineRule="auto"/>
        <w:ind w:left="851" w:hanging="851"/>
        <w:rPr>
          <w:rFonts w:ascii="Times New Roman" w:hAnsi="Times New Roman" w:cs="Times New Roman"/>
          <w:b/>
          <w:bCs/>
          <w:color w:val="000000" w:themeColor="text1"/>
          <w:sz w:val="24"/>
          <w:szCs w:val="24"/>
        </w:rPr>
      </w:pPr>
      <w:r w:rsidRPr="001F2C56">
        <w:rPr>
          <w:rFonts w:ascii="Times New Roman" w:hAnsi="Times New Roman" w:cs="Times New Roman"/>
          <w:color w:val="000000" w:themeColor="text1"/>
          <w:sz w:val="24"/>
          <w:szCs w:val="24"/>
          <w:shd w:val="clear" w:color="auto" w:fill="FFFFFF"/>
        </w:rPr>
        <w:t>Duong, S., Patel, T., &amp; Chang, F. (2017). Dementia: What pharmacists need to know. </w:t>
      </w:r>
      <w:r w:rsidRPr="001F2C56">
        <w:rPr>
          <w:rFonts w:ascii="Times New Roman" w:hAnsi="Times New Roman" w:cs="Times New Roman"/>
          <w:i/>
          <w:iCs/>
          <w:color w:val="000000" w:themeColor="text1"/>
          <w:sz w:val="24"/>
          <w:szCs w:val="24"/>
          <w:shd w:val="clear" w:color="auto" w:fill="FFFFFF"/>
        </w:rPr>
        <w:t>Canadian pharmacists journal: CPJ = Revue des pharmaciens du Canada: RPC</w:t>
      </w:r>
      <w:r w:rsidRPr="001F2C56">
        <w:rPr>
          <w:rFonts w:ascii="Times New Roman" w:hAnsi="Times New Roman" w:cs="Times New Roman"/>
          <w:color w:val="000000" w:themeColor="text1"/>
          <w:sz w:val="24"/>
          <w:szCs w:val="24"/>
          <w:shd w:val="clear" w:color="auto" w:fill="FFFFFF"/>
        </w:rPr>
        <w:t>, </w:t>
      </w:r>
      <w:r w:rsidRPr="001F2C56">
        <w:rPr>
          <w:rFonts w:ascii="Times New Roman" w:hAnsi="Times New Roman" w:cs="Times New Roman"/>
          <w:i/>
          <w:iCs/>
          <w:color w:val="000000" w:themeColor="text1"/>
          <w:sz w:val="24"/>
          <w:szCs w:val="24"/>
          <w:shd w:val="clear" w:color="auto" w:fill="FFFFFF"/>
        </w:rPr>
        <w:t>150</w:t>
      </w:r>
      <w:r w:rsidRPr="001F2C56">
        <w:rPr>
          <w:rFonts w:ascii="Times New Roman" w:hAnsi="Times New Roman" w:cs="Times New Roman"/>
          <w:color w:val="000000" w:themeColor="text1"/>
          <w:sz w:val="24"/>
          <w:szCs w:val="24"/>
          <w:shd w:val="clear" w:color="auto" w:fill="FFFFFF"/>
        </w:rPr>
        <w:t>(2), 118–129. https://doi.org/10.1177/1715163517690745</w:t>
      </w:r>
    </w:p>
    <w:p w:rsidR="00C40E15" w:rsidRPr="001F2C56" w:rsidRDefault="00F76E74" w:rsidP="00C40E15">
      <w:pPr>
        <w:spacing w:after="0" w:line="480" w:lineRule="auto"/>
        <w:ind w:left="851" w:hanging="851"/>
        <w:rPr>
          <w:rFonts w:ascii="Times New Roman" w:hAnsi="Times New Roman" w:cs="Times New Roman"/>
          <w:b/>
          <w:bCs/>
          <w:color w:val="000000" w:themeColor="text1"/>
          <w:sz w:val="24"/>
          <w:szCs w:val="24"/>
        </w:rPr>
      </w:pPr>
      <w:r w:rsidRPr="001F2C56">
        <w:rPr>
          <w:rFonts w:ascii="Times New Roman" w:hAnsi="Times New Roman" w:cs="Times New Roman"/>
          <w:color w:val="000000" w:themeColor="text1"/>
          <w:sz w:val="24"/>
          <w:szCs w:val="24"/>
          <w:shd w:val="clear" w:color="auto" w:fill="FFFFFF"/>
        </w:rPr>
        <w:t>Limaye, K., Wall, M., Uwaydat, S., Ali, S., Shaban, A., Al Kasab, S., &amp; Adams Jr, H. (2018). Is the management of central retinal artery occlusion the next frontier in cerebrovascular diseases? </w:t>
      </w:r>
      <w:r w:rsidRPr="001F2C56">
        <w:rPr>
          <w:rFonts w:ascii="Times New Roman" w:hAnsi="Times New Roman" w:cs="Times New Roman"/>
          <w:i/>
          <w:iCs/>
          <w:color w:val="000000" w:themeColor="text1"/>
          <w:sz w:val="24"/>
          <w:szCs w:val="24"/>
          <w:shd w:val="clear" w:color="auto" w:fill="FFFFFF"/>
        </w:rPr>
        <w:t>Journal of Stroke and Cerebrovascular Diseases</w:t>
      </w:r>
      <w:r w:rsidRPr="001F2C56">
        <w:rPr>
          <w:rFonts w:ascii="Times New Roman" w:hAnsi="Times New Roman" w:cs="Times New Roman"/>
          <w:color w:val="000000" w:themeColor="text1"/>
          <w:sz w:val="24"/>
          <w:szCs w:val="24"/>
          <w:shd w:val="clear" w:color="auto" w:fill="FFFFFF"/>
        </w:rPr>
        <w:t>, </w:t>
      </w:r>
      <w:r w:rsidRPr="001F2C56">
        <w:rPr>
          <w:rFonts w:ascii="Times New Roman" w:hAnsi="Times New Roman" w:cs="Times New Roman"/>
          <w:i/>
          <w:iCs/>
          <w:color w:val="000000" w:themeColor="text1"/>
          <w:sz w:val="24"/>
          <w:szCs w:val="24"/>
          <w:shd w:val="clear" w:color="auto" w:fill="FFFFFF"/>
        </w:rPr>
        <w:t>27</w:t>
      </w:r>
      <w:r w:rsidRPr="001F2C56">
        <w:rPr>
          <w:rFonts w:ascii="Times New Roman" w:hAnsi="Times New Roman" w:cs="Times New Roman"/>
          <w:color w:val="000000" w:themeColor="text1"/>
          <w:sz w:val="24"/>
          <w:szCs w:val="24"/>
          <w:shd w:val="clear" w:color="auto" w:fill="FFFFFF"/>
        </w:rPr>
        <w:t>(10), 2781-2791.</w:t>
      </w:r>
    </w:p>
    <w:p w:rsidR="00C40E15" w:rsidRPr="001F2C56" w:rsidRDefault="00F76E74" w:rsidP="00C40E15">
      <w:pPr>
        <w:spacing w:after="0" w:line="480" w:lineRule="auto"/>
        <w:ind w:left="851" w:hanging="851"/>
        <w:rPr>
          <w:rFonts w:ascii="Times New Roman" w:hAnsi="Times New Roman" w:cs="Times New Roman"/>
          <w:color w:val="000000" w:themeColor="text1"/>
          <w:sz w:val="24"/>
          <w:szCs w:val="24"/>
          <w:shd w:val="clear" w:color="auto" w:fill="FFFFFF"/>
        </w:rPr>
      </w:pPr>
      <w:r w:rsidRPr="001F2C56">
        <w:rPr>
          <w:rFonts w:ascii="Times New Roman" w:hAnsi="Times New Roman" w:cs="Times New Roman"/>
          <w:color w:val="000000" w:themeColor="text1"/>
          <w:sz w:val="24"/>
          <w:szCs w:val="24"/>
          <w:shd w:val="clear" w:color="auto" w:fill="FFFFFF"/>
        </w:rPr>
        <w:t xml:space="preserve">Proietti, M., Lip, G. Y., Laroche, C., Fauchier, L., Marin, F., Bauer, M., ... &amp; Long, E. E. A. F. G. (2020). Relation of outcomes to ABC (Atrial Fibrillation Better Care) pathway adherent care in European patients with atrial fibrillation: an analysis from the ESC-EHRA EORP Atrial Fibrillation General Long-Term (AFGen LT) Registry. </w:t>
      </w:r>
      <w:r w:rsidRPr="001F2C56">
        <w:rPr>
          <w:rFonts w:ascii="Times New Roman" w:hAnsi="Times New Roman" w:cs="Times New Roman"/>
          <w:i/>
          <w:iCs/>
          <w:color w:val="000000" w:themeColor="text1"/>
          <w:sz w:val="24"/>
          <w:szCs w:val="24"/>
          <w:shd w:val="clear" w:color="auto" w:fill="FFFFFF"/>
        </w:rPr>
        <w:t>Europace</w:t>
      </w:r>
      <w:r w:rsidRPr="001F2C56">
        <w:rPr>
          <w:rFonts w:ascii="Times New Roman" w:hAnsi="Times New Roman" w:cs="Times New Roman"/>
          <w:color w:val="000000" w:themeColor="text1"/>
          <w:sz w:val="24"/>
          <w:szCs w:val="24"/>
          <w:shd w:val="clear" w:color="auto" w:fill="FFFFFF"/>
        </w:rPr>
        <w:t>.</w:t>
      </w:r>
    </w:p>
    <w:p w:rsidR="00C40E15" w:rsidRPr="001F2C56" w:rsidRDefault="00F76E74" w:rsidP="00C40E15">
      <w:pPr>
        <w:spacing w:after="0" w:line="480" w:lineRule="auto"/>
        <w:ind w:left="851" w:hanging="851"/>
        <w:rPr>
          <w:rFonts w:ascii="Times New Roman" w:hAnsi="Times New Roman" w:cs="Times New Roman"/>
          <w:color w:val="000000" w:themeColor="text1"/>
          <w:sz w:val="24"/>
          <w:szCs w:val="24"/>
          <w:shd w:val="clear" w:color="auto" w:fill="FFFFFF"/>
        </w:rPr>
      </w:pPr>
      <w:r w:rsidRPr="001F2C56">
        <w:rPr>
          <w:rFonts w:ascii="Times New Roman" w:hAnsi="Times New Roman" w:cs="Times New Roman"/>
          <w:color w:val="000000" w:themeColor="text1"/>
          <w:sz w:val="24"/>
          <w:szCs w:val="24"/>
          <w:shd w:val="clear" w:color="auto" w:fill="FFFFFF"/>
        </w:rPr>
        <w:t>Schmidt, T. J., Aviña-Zubieta, J. A., Sayre, E. C., Abrahamowicz, M., Esdaile, J. M., &amp; Lacaille, D. (2018). Quality of care for cardiovascular disease prevention in rheumatoid arthritis: compliance with hyperlipidemia screening guidelines. </w:t>
      </w:r>
      <w:r w:rsidRPr="001F2C56">
        <w:rPr>
          <w:rFonts w:ascii="Times New Roman" w:hAnsi="Times New Roman" w:cs="Times New Roman"/>
          <w:i/>
          <w:iCs/>
          <w:color w:val="000000" w:themeColor="text1"/>
          <w:sz w:val="24"/>
          <w:szCs w:val="24"/>
          <w:shd w:val="clear" w:color="auto" w:fill="FFFFFF"/>
        </w:rPr>
        <w:t>Rheumatology</w:t>
      </w:r>
      <w:r w:rsidRPr="001F2C56">
        <w:rPr>
          <w:rFonts w:ascii="Times New Roman" w:hAnsi="Times New Roman" w:cs="Times New Roman"/>
          <w:color w:val="000000" w:themeColor="text1"/>
          <w:sz w:val="24"/>
          <w:szCs w:val="24"/>
          <w:shd w:val="clear" w:color="auto" w:fill="FFFFFF"/>
        </w:rPr>
        <w:t>, </w:t>
      </w:r>
      <w:r w:rsidRPr="001F2C56">
        <w:rPr>
          <w:rFonts w:ascii="Times New Roman" w:hAnsi="Times New Roman" w:cs="Times New Roman"/>
          <w:i/>
          <w:iCs/>
          <w:color w:val="000000" w:themeColor="text1"/>
          <w:sz w:val="24"/>
          <w:szCs w:val="24"/>
          <w:shd w:val="clear" w:color="auto" w:fill="FFFFFF"/>
        </w:rPr>
        <w:t>57</w:t>
      </w:r>
      <w:r w:rsidRPr="001F2C56">
        <w:rPr>
          <w:rFonts w:ascii="Times New Roman" w:hAnsi="Times New Roman" w:cs="Times New Roman"/>
          <w:color w:val="000000" w:themeColor="text1"/>
          <w:sz w:val="24"/>
          <w:szCs w:val="24"/>
          <w:shd w:val="clear" w:color="auto" w:fill="FFFFFF"/>
        </w:rPr>
        <w:t>(10), 1789-1794.</w:t>
      </w:r>
    </w:p>
    <w:p w:rsidR="00E93104" w:rsidRPr="001F2C56" w:rsidRDefault="00E93104" w:rsidP="00C40E15">
      <w:pPr>
        <w:spacing w:after="0" w:line="480" w:lineRule="auto"/>
        <w:ind w:left="851" w:hanging="851"/>
        <w:rPr>
          <w:rFonts w:ascii="Times New Roman" w:hAnsi="Times New Roman" w:cs="Times New Roman"/>
          <w:color w:val="000000" w:themeColor="text1"/>
          <w:sz w:val="24"/>
          <w:szCs w:val="24"/>
        </w:rPr>
      </w:pPr>
    </w:p>
    <w:p w:rsidR="004F4976" w:rsidRPr="001F2C56" w:rsidRDefault="004F4976" w:rsidP="00C40E15">
      <w:pPr>
        <w:spacing w:after="0" w:line="480" w:lineRule="auto"/>
        <w:ind w:left="851" w:hanging="851"/>
        <w:rPr>
          <w:rFonts w:ascii="Times New Roman" w:hAnsi="Times New Roman" w:cs="Times New Roman"/>
          <w:color w:val="000000" w:themeColor="text1"/>
          <w:sz w:val="24"/>
          <w:szCs w:val="24"/>
        </w:rPr>
      </w:pPr>
    </w:p>
    <w:sectPr w:rsidR="004F4976" w:rsidRPr="001F2C56" w:rsidSect="00B16CC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692" w:rsidRDefault="00FF3692" w:rsidP="00B16CC0">
      <w:pPr>
        <w:spacing w:after="0" w:line="240" w:lineRule="auto"/>
      </w:pPr>
      <w:r>
        <w:separator/>
      </w:r>
    </w:p>
  </w:endnote>
  <w:endnote w:type="continuationSeparator" w:id="1">
    <w:p w:rsidR="00FF3692" w:rsidRDefault="00FF3692" w:rsidP="00B16C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692" w:rsidRDefault="00FF3692" w:rsidP="00B16CC0">
      <w:pPr>
        <w:spacing w:after="0" w:line="240" w:lineRule="auto"/>
      </w:pPr>
      <w:r>
        <w:separator/>
      </w:r>
    </w:p>
  </w:footnote>
  <w:footnote w:type="continuationSeparator" w:id="1">
    <w:p w:rsidR="00FF3692" w:rsidRDefault="00FF3692" w:rsidP="00B16C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9772463"/>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1F2C56" w:rsidRPr="001F2C56" w:rsidRDefault="00DF6792">
        <w:pPr>
          <w:pStyle w:val="Header"/>
          <w:jc w:val="right"/>
          <w:rPr>
            <w:rFonts w:ascii="Times New Roman" w:hAnsi="Times New Roman" w:cs="Times New Roman"/>
            <w:color w:val="000000" w:themeColor="text1"/>
            <w:sz w:val="24"/>
            <w:szCs w:val="24"/>
          </w:rPr>
        </w:pPr>
        <w:r w:rsidRPr="001F2C56">
          <w:rPr>
            <w:rFonts w:ascii="Times New Roman" w:hAnsi="Times New Roman" w:cs="Times New Roman"/>
            <w:color w:val="000000" w:themeColor="text1"/>
            <w:sz w:val="24"/>
            <w:szCs w:val="24"/>
          </w:rPr>
          <w:fldChar w:fldCharType="begin"/>
        </w:r>
        <w:r w:rsidR="00F76E74" w:rsidRPr="001F2C56">
          <w:rPr>
            <w:rFonts w:ascii="Times New Roman" w:hAnsi="Times New Roman" w:cs="Times New Roman"/>
            <w:color w:val="000000" w:themeColor="text1"/>
            <w:sz w:val="24"/>
            <w:szCs w:val="24"/>
          </w:rPr>
          <w:instrText xml:space="preserve"> PAGE   \* MERGEFORMAT </w:instrText>
        </w:r>
        <w:r w:rsidRPr="001F2C56">
          <w:rPr>
            <w:rFonts w:ascii="Times New Roman" w:hAnsi="Times New Roman" w:cs="Times New Roman"/>
            <w:color w:val="000000" w:themeColor="text1"/>
            <w:sz w:val="24"/>
            <w:szCs w:val="24"/>
          </w:rPr>
          <w:fldChar w:fldCharType="separate"/>
        </w:r>
        <w:r w:rsidR="00900032">
          <w:rPr>
            <w:rFonts w:ascii="Times New Roman" w:hAnsi="Times New Roman" w:cs="Times New Roman"/>
            <w:noProof/>
            <w:color w:val="000000" w:themeColor="text1"/>
            <w:sz w:val="24"/>
            <w:szCs w:val="24"/>
          </w:rPr>
          <w:t>1</w:t>
        </w:r>
        <w:r w:rsidRPr="001F2C56">
          <w:rPr>
            <w:rFonts w:ascii="Times New Roman" w:hAnsi="Times New Roman" w:cs="Times New Roman"/>
            <w:noProof/>
            <w:color w:val="000000" w:themeColor="text1"/>
            <w:sz w:val="24"/>
            <w:szCs w:val="24"/>
          </w:rPr>
          <w:fldChar w:fldCharType="end"/>
        </w:r>
      </w:p>
    </w:sdtContent>
  </w:sdt>
  <w:p w:rsidR="001F2C56" w:rsidRDefault="001F2C5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13B10"/>
    <w:rsid w:val="000007D8"/>
    <w:rsid w:val="001F2C56"/>
    <w:rsid w:val="00283FAF"/>
    <w:rsid w:val="002A4A7D"/>
    <w:rsid w:val="003032D6"/>
    <w:rsid w:val="00317649"/>
    <w:rsid w:val="004039F3"/>
    <w:rsid w:val="004126E4"/>
    <w:rsid w:val="004D68B3"/>
    <w:rsid w:val="004F4976"/>
    <w:rsid w:val="00836AB5"/>
    <w:rsid w:val="00900032"/>
    <w:rsid w:val="009475E7"/>
    <w:rsid w:val="00991BAA"/>
    <w:rsid w:val="00A13B10"/>
    <w:rsid w:val="00AF07FD"/>
    <w:rsid w:val="00B0406C"/>
    <w:rsid w:val="00B16CC0"/>
    <w:rsid w:val="00C40E15"/>
    <w:rsid w:val="00CE4029"/>
    <w:rsid w:val="00D04588"/>
    <w:rsid w:val="00DF6792"/>
    <w:rsid w:val="00E93104"/>
    <w:rsid w:val="00F76E74"/>
    <w:rsid w:val="00F848AE"/>
    <w:rsid w:val="00FA721A"/>
    <w:rsid w:val="00FC0ECE"/>
    <w:rsid w:val="00FF36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C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3B10"/>
  </w:style>
  <w:style w:type="paragraph" w:styleId="Footer">
    <w:name w:val="footer"/>
    <w:basedOn w:val="Normal"/>
    <w:link w:val="FooterChar"/>
    <w:uiPriority w:val="99"/>
    <w:unhideWhenUsed/>
    <w:rsid w:val="00A13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B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2021-02-03T20:15:00Z</dcterms:created>
  <dcterms:modified xsi:type="dcterms:W3CDTF">2021-02-03T20:15:00Z</dcterms:modified>
</cp:coreProperties>
</file>